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4"/>
        <w:widowControl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         На основу члана  39. и 41. Одлуке о општинској управи општине Ада („Службени лист општине Ада“, број 36/2012),</w:t>
      </w:r>
      <w:r>
        <w:rPr>
          <w:rFonts w:eastAsia="Times New Roman" w:cs="Times New Roman"/>
          <w:lang w:val="en-US"/>
        </w:rPr>
        <w:br/>
      </w:r>
      <w:r>
        <w:rPr>
          <w:rFonts w:eastAsia="Times New Roman" w:cs="Times New Roman"/>
          <w:lang w:val="en-US"/>
        </w:rPr>
        <w:t xml:space="preserve">           Општинска управа Општине Ада доноси</w:t>
      </w:r>
    </w:p>
    <w:p>
      <w:pPr>
        <w:pStyle w:val="14"/>
        <w:widowControl/>
        <w:ind w:left="0" w:firstLine="720"/>
        <w:jc w:val="center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br/>
      </w:r>
      <w:r>
        <w:rPr>
          <w:rFonts w:eastAsia="Times New Roman" w:cs="Times New Roman"/>
          <w:lang w:val="en-US"/>
        </w:rPr>
        <w:br/>
      </w:r>
      <w:r>
        <w:rPr>
          <w:rFonts w:eastAsia="Times New Roman" w:cs="Times New Roman"/>
          <w:b/>
          <w:sz w:val="36"/>
          <w:szCs w:val="36"/>
          <w:lang w:val="en-US"/>
        </w:rPr>
        <w:t>У П У Т С Т В О</w:t>
      </w:r>
    </w:p>
    <w:p>
      <w:pPr>
        <w:pStyle w:val="14"/>
        <w:widowControl/>
        <w:ind w:left="0" w:firstLine="720"/>
        <w:jc w:val="center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br/>
      </w:r>
      <w:r>
        <w:rPr>
          <w:rFonts w:eastAsia="Times New Roman" w:cs="Times New Roman"/>
          <w:b/>
          <w:lang w:val="en-US"/>
        </w:rPr>
        <w:t>О НАЧИНУ САСТАВЉАЊА И ДОСТАВЉАЊА ИЗВЕШТАЈА</w:t>
      </w:r>
    </w:p>
    <w:p>
      <w:pPr>
        <w:pStyle w:val="14"/>
        <w:widowControl/>
        <w:ind w:left="0" w:firstLine="72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УДРУЖЕЊА (НЕВЛАДИНИХ ОРГАНИЗАЦИЈА)</w:t>
      </w:r>
    </w:p>
    <w:p>
      <w:pPr>
        <w:pStyle w:val="14"/>
        <w:widowControl/>
        <w:ind w:left="0" w:firstLine="72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О ОБИМУ И НАМЕНСКОМ КОРИШЋЕЊУ СРЕДСТАВА</w:t>
      </w:r>
    </w:p>
    <w:p>
      <w:pPr>
        <w:pStyle w:val="14"/>
        <w:widowControl/>
        <w:ind w:left="0" w:firstLine="72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БУЏЕТА ОПШТИНЕ АДА</w:t>
      </w:r>
    </w:p>
    <w:p>
      <w:pPr>
        <w:pStyle w:val="14"/>
        <w:widowControl/>
        <w:ind w:left="0" w:firstLine="720"/>
        <w:rPr>
          <w:rFonts w:eastAsia="Times New Roman" w:cs="Times New Roman"/>
          <w:lang w:val="en-US"/>
        </w:rPr>
      </w:pPr>
    </w:p>
    <w:p>
      <w:pPr>
        <w:pStyle w:val="14"/>
        <w:widowControl/>
        <w:ind w:left="0" w:firstLine="720"/>
        <w:jc w:val="center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br/>
      </w:r>
      <w:r>
        <w:rPr>
          <w:rFonts w:eastAsia="Times New Roman" w:cs="Times New Roman"/>
          <w:lang w:val="en-US"/>
        </w:rPr>
        <w:t>Члан 1.</w:t>
      </w:r>
    </w:p>
    <w:p>
      <w:pPr>
        <w:pStyle w:val="14"/>
        <w:widowControl/>
        <w:ind w:left="0" w:firstLine="72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Овим Упутством ближе се прописује начин састављања и достављања Извештаја  о обиму и наменском коришћењу (утрошку) средстава буџета општине Ада од стране Удружења (невладиних организација) из члана 38. ст. 6. Закона о удружењима (''Сл. гласник РС'', бр. 51/2009 и 99/2011– др. закон), односно из члана 20. Одлуке </w:t>
      </w:r>
      <w:r>
        <w:rPr>
          <w:rFonts w:eastAsia="Arial-BoldMT" w:cs="Arial-BoldMT"/>
          <w:lang w:val="en-US"/>
        </w:rPr>
        <w:t xml:space="preserve">о начину финансирања или суфинансирања програма или пројеката и за трошкове функционисања невладиних организација из буџета општине Ада </w:t>
      </w:r>
      <w:r>
        <w:rPr>
          <w:rFonts w:eastAsia="Arial-BoldMT" w:cs="Times New Roman"/>
          <w:lang w:val="en-US"/>
        </w:rPr>
        <w:t>(„Сл. лист општине Ада“, број 5/2012)</w:t>
      </w:r>
      <w:r>
        <w:rPr>
          <w:rFonts w:eastAsia="Arial-BoldMT" w:cs="Arial-BoldMT"/>
          <w:lang w:val="en-US"/>
        </w:rPr>
        <w:t>.</w:t>
      </w:r>
      <w:r>
        <w:rPr>
          <w:rFonts w:eastAsia="Times New Roman" w:cs="Times New Roman"/>
          <w:lang w:val="en-US"/>
        </w:rPr>
        <w:br/>
      </w:r>
    </w:p>
    <w:p>
      <w:pPr>
        <w:pStyle w:val="14"/>
        <w:widowControl/>
        <w:jc w:val="center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Члан 2.</w:t>
      </w:r>
    </w:p>
    <w:p>
      <w:pPr>
        <w:pStyle w:val="14"/>
        <w:widowControl/>
        <w:ind w:left="0" w:firstLine="72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Извештај из члана 1. овог Упутства се  састављају на Обрасцу који садржи:</w:t>
      </w:r>
    </w:p>
    <w:p>
      <w:pPr>
        <w:pStyle w:val="14"/>
        <w:widowControl/>
        <w:ind w:left="0" w:firstLine="72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1. ПОДАТКЕ О КОРИСНИКУ СРЕДСТАВА,</w:t>
      </w:r>
    </w:p>
    <w:p>
      <w:pPr>
        <w:pStyle w:val="14"/>
        <w:widowControl/>
        <w:ind w:left="0" w:firstLine="72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2. ПОДАТКЕ О ПРОЈЕКТУ ОДНОСНО ПРОГРАМУ,</w:t>
      </w:r>
    </w:p>
    <w:p>
      <w:pPr>
        <w:pStyle w:val="14"/>
        <w:widowControl/>
        <w:ind w:left="0" w:firstLine="72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3. ПОДАТКЕ О РЕАЛИЗАЦИЈИ СРЕДСТАВА УПЛАЋЕНИХ ОД СТРАНЕ   </w:t>
      </w:r>
    </w:p>
    <w:p>
      <w:pPr>
        <w:pStyle w:val="14"/>
        <w:widowControl/>
        <w:ind w:left="0" w:firstLine="72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  ОПШТИНЕ АДА,</w:t>
      </w:r>
    </w:p>
    <w:p>
      <w:pPr>
        <w:pStyle w:val="14"/>
        <w:widowControl/>
        <w:ind w:left="0" w:firstLine="72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4. СПЕЦИФИКАЦИЈУ СВИХ ТРОШКОВА ПРОЈЕКТА ОДНОСНО ПРОГРАМА,</w:t>
      </w:r>
    </w:p>
    <w:p>
      <w:pPr>
        <w:pStyle w:val="14"/>
        <w:widowControl/>
        <w:ind w:left="0" w:firstLine="72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5.  СПИСАК И РЕДОСЛЕД ПРИЛОЖЕНИХ ДОКУМЕНАТА</w:t>
      </w:r>
    </w:p>
    <w:p>
      <w:pPr>
        <w:pStyle w:val="14"/>
        <w:widowControl/>
        <w:ind w:left="0" w:firstLine="72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Образац Извештаја о наменском коришћењу (утрошку) средстава буџета општине Ада је одштампан уз ово Упутство и чини његов саставни део.</w:t>
      </w:r>
    </w:p>
    <w:p>
      <w:pPr>
        <w:pStyle w:val="14"/>
        <w:widowControl/>
        <w:ind w:left="0" w:firstLine="720"/>
        <w:jc w:val="both"/>
        <w:rPr>
          <w:rFonts w:eastAsia="Times New Roman" w:cs="Times New Roman"/>
          <w:lang w:val="en-US"/>
        </w:rPr>
      </w:pPr>
    </w:p>
    <w:p>
      <w:pPr>
        <w:pStyle w:val="14"/>
        <w:widowControl/>
        <w:jc w:val="center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Члан 3.</w:t>
      </w:r>
    </w:p>
    <w:p>
      <w:pPr>
        <w:pStyle w:val="14"/>
        <w:widowControl/>
        <w:ind w:left="0" w:firstLine="72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Извештај  из члана 1. овог Упутства доставља се  Одељењу  а буџет и  финансије Општинске управе општине Ада, у прописаним роковима, и то у писаној и у електронској форми.</w:t>
      </w:r>
    </w:p>
    <w:p>
      <w:pPr>
        <w:pStyle w:val="14"/>
        <w:widowControl/>
        <w:ind w:left="0" w:firstLine="720"/>
        <w:jc w:val="center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br/>
      </w:r>
      <w:r>
        <w:rPr>
          <w:rFonts w:eastAsia="Times New Roman" w:cs="Times New Roman"/>
          <w:lang w:val="en-US"/>
        </w:rPr>
        <w:t>Члан 4.</w:t>
      </w:r>
    </w:p>
    <w:p>
      <w:pPr>
        <w:pStyle w:val="14"/>
        <w:widowControl/>
        <w:ind w:left="0" w:firstLine="72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Ово Упутство се примењује почев од наредног дана од дана његовог објављивања у ''Службеном листу општине Ада''.</w:t>
      </w:r>
    </w:p>
    <w:p>
      <w:pPr>
        <w:pStyle w:val="14"/>
        <w:widowControl/>
        <w:ind w:left="0" w:firstLine="720"/>
        <w:jc w:val="both"/>
        <w:rPr>
          <w:rFonts w:eastAsia="Times New Roman" w:cs="Times New Roman"/>
          <w:lang w:val="en-US"/>
        </w:rPr>
      </w:pPr>
    </w:p>
    <w:p>
      <w:pPr>
        <w:pStyle w:val="14"/>
        <w:widowControl/>
        <w:ind w:left="0" w:firstLine="720"/>
        <w:jc w:val="both"/>
        <w:rPr>
          <w:rFonts w:eastAsia="Times New Roman" w:cs="Times New Roman"/>
          <w:lang w:val="en-US"/>
        </w:rPr>
      </w:pPr>
    </w:p>
    <w:p>
      <w:pPr>
        <w:pStyle w:val="14"/>
        <w:widowControl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Република Србија</w:t>
      </w:r>
    </w:p>
    <w:p>
      <w:pPr>
        <w:pStyle w:val="14"/>
        <w:widowControl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Аутономна Покрајина Војводина</w:t>
      </w:r>
    </w:p>
    <w:p>
      <w:pPr>
        <w:pStyle w:val="14"/>
        <w:widowControl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Општина Ада</w:t>
      </w:r>
    </w:p>
    <w:p>
      <w:pPr>
        <w:pStyle w:val="14"/>
        <w:widowControl/>
        <w:tabs>
          <w:tab w:val="left" w:pos="7200"/>
        </w:tabs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ОПШТИНСКА УПРАВА ОПШТИНЕ АДА </w:t>
      </w:r>
      <w:r>
        <w:rPr>
          <w:rFonts w:hint="default"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>НАЧЕЛНИК,</w:t>
      </w:r>
    </w:p>
    <w:p>
      <w:pPr>
        <w:pStyle w:val="14"/>
        <w:widowControl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Број:016-29/2013-04</w:t>
      </w:r>
    </w:p>
    <w:p>
      <w:pPr>
        <w:pStyle w:val="14"/>
        <w:widowControl/>
        <w:tabs>
          <w:tab w:val="left" w:pos="7200"/>
        </w:tabs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Ада, 30. 09. 2013. Године</w:t>
      </w:r>
      <w:r>
        <w:rPr>
          <w:rFonts w:hint="default"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>Ходик Нандор</w:t>
      </w:r>
    </w:p>
    <w:p>
      <w:pPr>
        <w:pStyle w:val="14"/>
        <w:widowControl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                                                       </w:t>
      </w:r>
    </w:p>
    <w:p>
      <w:pPr>
        <w:pStyle w:val="14"/>
        <w:widowControl/>
        <w:ind w:left="0" w:firstLine="72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br/>
      </w:r>
    </w:p>
    <w:p>
      <w:pPr>
        <w:pStyle w:val="14"/>
        <w:widowControl/>
        <w:jc w:val="center"/>
        <w:rPr>
          <w:rFonts w:eastAsia="Times New Roman" w:cs="Times New Roman"/>
          <w:lang w:val="en-US"/>
        </w:rPr>
      </w:pPr>
      <w:bookmarkStart w:id="0" w:name="_GoBack"/>
      <w:bookmarkEnd w:id="0"/>
      <w:r>
        <w:rPr>
          <w:rFonts w:eastAsia="Times New Roman" w:cs="Times New Roman"/>
          <w:b/>
          <w:lang w:val="en-US"/>
        </w:rPr>
        <w:t>ПРИЛОГ:  ОБРАЗАЦ</w:t>
      </w:r>
    </w:p>
    <w:p/>
    <w:sectPr>
      <w:pgSz w:w="11906" w:h="16838"/>
      <w:pgMar w:top="1135" w:right="1135" w:bottom="343" w:left="1135" w:header="720" w:footer="720" w:gutter="0"/>
      <w:paperSrc w:first="0" w:oth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 Math">
    <w:panose1 w:val="02040503050406030204"/>
    <w:charset w:val="EE"/>
    <w:family w:val="auto"/>
    <w:pitch w:val="variable"/>
    <w:sig w:usb0="E00002FF" w:usb1="420024FF" w:usb2="00000000" w:usb3="00000000" w:csb0="200001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200101FF" w:csb1="20280000"/>
  </w:font>
  <w:font w:name="Arial Unicode MS">
    <w:panose1 w:val="020B0604020202020204"/>
    <w:charset w:val="80"/>
    <w:family w:val="auto"/>
    <w:pitch w:val="variable"/>
    <w:sig w:usb0="FFFFFFFF" w:usb1="E9FFFFFF" w:usb2="0000003F" w:usb3="00000000" w:csb0="603F01FF" w:csb1="FFFF0000"/>
  </w:font>
  <w:font w:name="@Arial Unicode MS">
    <w:panose1 w:val="020B0604020202020204"/>
    <w:charset w:val="80"/>
    <w:family w:val="auto"/>
    <w:pitch w:val="variable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43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splitPgBreakAndParaMark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annotation subject"/>
    <w:lsdException w:unhideWhenUsed="0" w:uiPriority="0" w:name="Balloon Text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  <w:uiPriority w:val="0"/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4">
    <w:name w:val="Standard"/>
    <w:uiPriority w:val="0"/>
    <w:pPr>
      <w:widowControl w:val="0"/>
      <w:suppressAutoHyphens/>
      <w:autoSpaceDN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Arial Unicode MS" w:cs="Tahoma"/>
      <w:color w:val="000000"/>
      <w:kern w:val="3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Office_9.1.0.4758_{F1E327BC-269C-435d-A152-05C5408002CA}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Kornel</dc:creator>
  <cp:lastModifiedBy>Kornel</cp:lastModifiedBy>
  <dcterms:modified xsi:type="dcterms:W3CDTF">2014-11-14T09:11:25Z</dcterms:modified>
  <dc:title>           На основу члана  39. и 41. Одлуке о општинској управи општине Ада („Службени лист општине Ада“, број 36/2012),_x000B_           Општинска управа Општине Ада доноси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